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725" w:rsidRDefault="00972D08">
      <w:r>
        <w:t>Technology for Student Success: An Introduction</w:t>
      </w:r>
    </w:p>
    <w:p w:rsidR="00972D08" w:rsidRDefault="00972D08">
      <w:r>
        <w:t>Unit 5 – Accessible Instructional Materials (AIM)</w:t>
      </w:r>
    </w:p>
    <w:p w:rsidR="00972D08" w:rsidRDefault="00972D08">
      <w:r>
        <w:t xml:space="preserve">Section </w:t>
      </w:r>
      <w:r w:rsidR="009250AF">
        <w:t>5</w:t>
      </w:r>
      <w:r w:rsidR="00944CEF">
        <w:t xml:space="preserve"> – </w:t>
      </w:r>
      <w:r w:rsidR="009250AF">
        <w:t>Check-up</w:t>
      </w:r>
    </w:p>
    <w:p w:rsidR="00C57828" w:rsidRDefault="009250AF" w:rsidP="00DD0265">
      <w:r>
        <w:t>Main Points</w:t>
      </w:r>
      <w:r w:rsidR="00FA42FC">
        <w:t xml:space="preserve"> from Unit 5</w:t>
      </w:r>
    </w:p>
    <w:p w:rsidR="00FA42FC" w:rsidRDefault="00FA42FC" w:rsidP="00FA42FC">
      <w:pPr>
        <w:pStyle w:val="ListParagraph"/>
        <w:numPr>
          <w:ilvl w:val="0"/>
          <w:numId w:val="4"/>
        </w:numPr>
      </w:pPr>
      <w:r>
        <w:t>Printed text is static in nature. This consistency has made printed textbooks easy to disseminate and use but difficult to adapt for students with disabilities.</w:t>
      </w:r>
    </w:p>
    <w:p w:rsidR="00FA42FC" w:rsidRDefault="00FA42FC" w:rsidP="00FA42FC">
      <w:pPr>
        <w:pStyle w:val="ListParagraph"/>
        <w:numPr>
          <w:ilvl w:val="0"/>
          <w:numId w:val="4"/>
        </w:numPr>
      </w:pPr>
      <w:r>
        <w:t>Legislation has been developed and revised over the years to make accessible, specialized formats of books and materials available to some individuals with disabilities. One of the latest pieces of legislation was the Chafee Amendment to copyright law. This amendment establishes authorized entities who can convert printed books and materials into specialized formats without copyright infringement. Only about 1% to 2% of individuals with disabilities are eligible to use these formats.</w:t>
      </w:r>
    </w:p>
    <w:p w:rsidR="00FA42FC" w:rsidRDefault="00FA42FC" w:rsidP="00FA42FC">
      <w:pPr>
        <w:pStyle w:val="ListParagraph"/>
        <w:numPr>
          <w:ilvl w:val="0"/>
          <w:numId w:val="4"/>
        </w:numPr>
      </w:pPr>
      <w:r>
        <w:t>IDEA 2004 introduced legislation on appropriate and accessible instruction materials and established the NIMAS and NIMAC. While</w:t>
      </w:r>
      <w:r w:rsidR="00862F92">
        <w:t xml:space="preserve"> the services of the NIMAC are only available to 1% to 2% of the students with disabilities, IDEA is clear on the requirement that any student with a disability have appropriate and accessible instructional materials as needed.</w:t>
      </w:r>
    </w:p>
    <w:p w:rsidR="00862F92" w:rsidRDefault="00862F92" w:rsidP="00862F92">
      <w:pPr>
        <w:pStyle w:val="ListParagraph"/>
        <w:numPr>
          <w:ilvl w:val="0"/>
          <w:numId w:val="4"/>
        </w:numPr>
      </w:pPr>
      <w:r>
        <w:t>Assessments for AIM can include learning media assessments, informal reading inventories, current levels of performance, medical diagnosis, etc. Accommodations should also be considered, as well as any needed assistive technologies. Aspects of instructional materials that may be considered include:</w:t>
      </w:r>
    </w:p>
    <w:p w:rsidR="00862F92" w:rsidRDefault="00862F92" w:rsidP="00862F92">
      <w:pPr>
        <w:pStyle w:val="ListParagraph"/>
        <w:numPr>
          <w:ilvl w:val="1"/>
          <w:numId w:val="4"/>
        </w:numPr>
      </w:pPr>
      <w:r>
        <w:t>Content: Is the information and language appropriate and understandable for this student? This may include an evaluation of the grade level of the reading material. It can also include accommodations that take into consideration the primary language of a student when English is a second language.</w:t>
      </w:r>
    </w:p>
    <w:p w:rsidR="00862F92" w:rsidRDefault="00862F92" w:rsidP="00862F92">
      <w:pPr>
        <w:pStyle w:val="ListParagraph"/>
        <w:numPr>
          <w:ilvl w:val="1"/>
          <w:numId w:val="4"/>
        </w:numPr>
      </w:pPr>
      <w:r>
        <w:t>Structure: Is the flow of information appropriate for this student? Some students may be unable to handle large chapters of text successfully and need to work with the information in smaller chunks or in an outline form. This may include adapting the layout of the information.</w:t>
      </w:r>
    </w:p>
    <w:p w:rsidR="00862F92" w:rsidRDefault="00862F92" w:rsidP="009250AF">
      <w:pPr>
        <w:pStyle w:val="ListParagraph"/>
        <w:numPr>
          <w:ilvl w:val="1"/>
          <w:numId w:val="4"/>
        </w:numPr>
      </w:pPr>
      <w:r>
        <w:t>Presentation: Is the sensory aspect of the format appropriate for this student? Does the student need an audio file, larger print, braille, graphic-enhanced text, colored overlays, etc.?</w:t>
      </w:r>
    </w:p>
    <w:p w:rsidR="009250AF" w:rsidRDefault="00862F92" w:rsidP="00862F92">
      <w:pPr>
        <w:pStyle w:val="ListParagraph"/>
        <w:numPr>
          <w:ilvl w:val="0"/>
          <w:numId w:val="4"/>
        </w:numPr>
      </w:pPr>
      <w:r w:rsidRPr="00862F92">
        <w:t>Universal Design for Learning, or UDL, provides a framework that schools can use to identify products, services, and technologies that may assist in quick adaptations of instructional materials to meet a student’s unique needs.</w:t>
      </w:r>
      <w:r>
        <w:t xml:space="preserve"> These tools and technologies can help students to quickly have access to needed accommodations and AIM in the classroom.</w:t>
      </w:r>
    </w:p>
    <w:p w:rsidR="00EC26CF" w:rsidRDefault="00EC26CF">
      <w:r>
        <w:br w:type="page"/>
      </w:r>
    </w:p>
    <w:p w:rsidR="00EC26CF" w:rsidRDefault="00EC26CF" w:rsidP="00EC26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178"/>
        <w:gridCol w:w="7398"/>
      </w:tblGrid>
      <w:tr w:rsidR="00EC26CF" w:rsidTr="002B4E10">
        <w:tc>
          <w:tcPr>
            <w:tcW w:w="2178" w:type="dxa"/>
            <w:vAlign w:val="center"/>
          </w:tcPr>
          <w:p w:rsidR="00EC26CF" w:rsidRDefault="00EC26CF" w:rsidP="002B4E10">
            <w:pPr>
              <w:jc w:val="center"/>
            </w:pPr>
            <w:r>
              <w:rPr>
                <w:noProof/>
              </w:rPr>
              <w:drawing>
                <wp:inline distT="0" distB="0" distL="0" distR="0" wp14:anchorId="1EA3E359" wp14:editId="1055A30E">
                  <wp:extent cx="1011936" cy="505968"/>
                  <wp:effectExtent l="0" t="0" r="0" b="8890"/>
                  <wp:docPr id="1" name="Picture 1" descr="C:\Users\Davis\AppData\Local\Microsoft\Windows\Temporary Internet Files\Content.IE5\5P2OANG6\MC9004420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s\AppData\Local\Microsoft\Windows\Temporary Internet Files\Content.IE5\5P2OANG6\MC900442086[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253" cy="510626"/>
                          </a:xfrm>
                          <a:prstGeom prst="rect">
                            <a:avLst/>
                          </a:prstGeom>
                          <a:noFill/>
                          <a:ln>
                            <a:noFill/>
                          </a:ln>
                        </pic:spPr>
                      </pic:pic>
                    </a:graphicData>
                  </a:graphic>
                </wp:inline>
              </w:drawing>
            </w:r>
          </w:p>
        </w:tc>
        <w:tc>
          <w:tcPr>
            <w:tcW w:w="7398" w:type="dxa"/>
            <w:vAlign w:val="center"/>
          </w:tcPr>
          <w:p w:rsidR="00EC26CF" w:rsidRDefault="00EC26CF" w:rsidP="002B4E10">
            <w:r>
              <w:t>Student Considerations</w:t>
            </w:r>
          </w:p>
          <w:p w:rsidR="00EC26CF" w:rsidRDefault="00EC26CF" w:rsidP="002B4E10">
            <w:pPr>
              <w:ind w:left="720"/>
            </w:pPr>
            <w:r>
              <w:t xml:space="preserve">Natalie </w:t>
            </w:r>
            <w:r>
              <w:t>now receives large print from an accessible media producer under eligibility through the Chafee amendment. She is learning how to adjust fonts as well as use a screen magnifier on the computers in her classroom. Her vision continues to be monitored to help determine if she will need to move to using braille materials.</w:t>
            </w:r>
          </w:p>
          <w:p w:rsidR="00EC26CF" w:rsidRDefault="00EC26CF" w:rsidP="002B4E10">
            <w:pPr>
              <w:ind w:left="720"/>
            </w:pPr>
          </w:p>
          <w:p w:rsidR="00EC26CF" w:rsidRDefault="00EC26CF" w:rsidP="00EC26CF">
            <w:pPr>
              <w:ind w:left="720"/>
            </w:pPr>
            <w:r>
              <w:t>Jesse is now using digital textbooks that his school receives from the textbook publishers. Additional printed materials are scanned and converted to a digital format. The software Jesse uses includes text-to-speech, highlighting tools, and organizational tools to support reading comprehension. The teacher and assistive technology specialist continue to monitor Jesse’s progress throughout the year to help determine which accommodations and tools are the most effective.</w:t>
            </w:r>
          </w:p>
        </w:tc>
      </w:tr>
    </w:tbl>
    <w:p w:rsidR="00862F92" w:rsidRDefault="00862F92" w:rsidP="00DD0265"/>
    <w:p w:rsidR="00EC26CF" w:rsidRDefault="00EC26CF">
      <w:r>
        <w:br w:type="page"/>
      </w:r>
    </w:p>
    <w:p w:rsidR="000335D7" w:rsidRDefault="009250AF" w:rsidP="00DD0265">
      <w:r>
        <w:lastRenderedPageBreak/>
        <w:t>Section 5</w:t>
      </w:r>
      <w:r w:rsidR="000335D7">
        <w:t xml:space="preserve"> </w:t>
      </w:r>
      <w:r>
        <w:t>Assessment</w:t>
      </w:r>
    </w:p>
    <w:p w:rsidR="000335D7" w:rsidRDefault="009250AF" w:rsidP="00DD0265">
      <w:r>
        <w:t xml:space="preserve">Complete this </w:t>
      </w:r>
      <w:proofErr w:type="gramStart"/>
      <w:r>
        <w:t>Cloze</w:t>
      </w:r>
      <w:proofErr w:type="gramEnd"/>
      <w:r>
        <w:t xml:space="preserve"> activity</w:t>
      </w:r>
      <w:r w:rsidR="00B718BC">
        <w:t xml:space="preserve"> quiz</w:t>
      </w:r>
      <w:r>
        <w:t>, then click on “Check” to see how you did. This is a graded activity so do your best. If you feel you missed some information you need go back and review some of the sections in this unit</w:t>
      </w:r>
      <w:r w:rsidR="0042414E">
        <w:t>.</w:t>
      </w:r>
      <w:r w:rsidR="00CC1174">
        <w:t xml:space="preserve"> </w:t>
      </w:r>
      <w:r w:rsidR="00CC1174" w:rsidRPr="009250AF">
        <w:rPr>
          <w:highlight w:val="yellow"/>
        </w:rPr>
        <w:t xml:space="preserve">FCIM – </w:t>
      </w:r>
      <w:r w:rsidRPr="009250AF">
        <w:rPr>
          <w:highlight w:val="yellow"/>
        </w:rPr>
        <w:t>there are 3 choices for each answer and they are in parentheses. The correct answer is in italics</w:t>
      </w:r>
      <w:r w:rsidR="00B718BC">
        <w:rPr>
          <w:highlight w:val="yellow"/>
        </w:rPr>
        <w:t>. The check button should produce the grade</w:t>
      </w:r>
      <w:r w:rsidRPr="009250AF">
        <w:rPr>
          <w:highlight w:val="yellow"/>
        </w:rPr>
        <w:t>.</w:t>
      </w:r>
      <w:r>
        <w:t xml:space="preserve"> </w:t>
      </w:r>
    </w:p>
    <w:p w:rsidR="009250AF" w:rsidRPr="00CF36A7" w:rsidRDefault="009250AF" w:rsidP="00DD0265">
      <w:r w:rsidRPr="00CF36A7">
        <w:t xml:space="preserve">Paper printing offers an easy way to provide </w:t>
      </w:r>
      <w:r w:rsidR="00CF36A7">
        <w:t>(</w:t>
      </w:r>
      <w:r w:rsidR="00CF36A7" w:rsidRPr="00013050">
        <w:rPr>
          <w:highlight w:val="yellow"/>
        </w:rPr>
        <w:t xml:space="preserve">extensive, </w:t>
      </w:r>
      <w:r w:rsidRPr="00013050">
        <w:rPr>
          <w:i/>
          <w:highlight w:val="yellow"/>
        </w:rPr>
        <w:t>consistent</w:t>
      </w:r>
      <w:r w:rsidR="00CF36A7" w:rsidRPr="00013050">
        <w:rPr>
          <w:highlight w:val="yellow"/>
        </w:rPr>
        <w:t>, complex</w:t>
      </w:r>
      <w:r w:rsidR="00CF36A7">
        <w:t>)</w:t>
      </w:r>
      <w:r w:rsidRPr="00CF36A7">
        <w:t xml:space="preserve"> materials to a large audience. The same look, feel, and structure have helped to support reliable </w:t>
      </w:r>
      <w:r w:rsidR="00CF36A7">
        <w:t>(</w:t>
      </w:r>
      <w:r w:rsidR="00CF36A7" w:rsidRPr="00013050">
        <w:rPr>
          <w:highlight w:val="yellow"/>
        </w:rPr>
        <w:t xml:space="preserve">analysis, procurement, </w:t>
      </w:r>
      <w:r w:rsidRPr="00013050">
        <w:rPr>
          <w:i/>
          <w:highlight w:val="yellow"/>
        </w:rPr>
        <w:t>dissemination</w:t>
      </w:r>
      <w:r w:rsidR="00CF36A7">
        <w:t>)</w:t>
      </w:r>
      <w:r w:rsidRPr="00CF36A7">
        <w:t xml:space="preserve"> and consistency in use. Mass printed materials are generally inexpensive and </w:t>
      </w:r>
      <w:r w:rsidR="00CF36A7">
        <w:t>(</w:t>
      </w:r>
      <w:r w:rsidRPr="00013050">
        <w:rPr>
          <w:i/>
          <w:highlight w:val="yellow"/>
        </w:rPr>
        <w:t>easy</w:t>
      </w:r>
      <w:r w:rsidR="00CF36A7" w:rsidRPr="00013050">
        <w:rPr>
          <w:highlight w:val="yellow"/>
        </w:rPr>
        <w:t>, difficult, problematic)</w:t>
      </w:r>
      <w:r w:rsidRPr="00CF36A7">
        <w:t xml:space="preserve"> to carry from one place to another.</w:t>
      </w:r>
    </w:p>
    <w:p w:rsidR="009250AF" w:rsidRPr="00CF36A7" w:rsidRDefault="009250AF" w:rsidP="00DD0265">
      <w:r w:rsidRPr="00CF36A7">
        <w:t xml:space="preserve">While the consistent nature of printed materials has resulted in a </w:t>
      </w:r>
      <w:r w:rsidR="00CF36A7">
        <w:t>(</w:t>
      </w:r>
      <w:r w:rsidRPr="00013050">
        <w:rPr>
          <w:i/>
          <w:highlight w:val="yellow"/>
        </w:rPr>
        <w:t>reliable</w:t>
      </w:r>
      <w:r w:rsidR="00CF36A7" w:rsidRPr="00013050">
        <w:rPr>
          <w:highlight w:val="yellow"/>
        </w:rPr>
        <w:t>, challenging, simplistic</w:t>
      </w:r>
      <w:r w:rsidR="00CF36A7">
        <w:t>)</w:t>
      </w:r>
      <w:r w:rsidRPr="00CF36A7">
        <w:t xml:space="preserve"> experience for many students, that same consistency can </w:t>
      </w:r>
      <w:r w:rsidR="00CF36A7">
        <w:t>make a book</w:t>
      </w:r>
      <w:r w:rsidRPr="00CF36A7">
        <w:t xml:space="preserve"> difficult to </w:t>
      </w:r>
      <w:r w:rsidR="00CF36A7">
        <w:t>(</w:t>
      </w:r>
      <w:r w:rsidR="00CF36A7" w:rsidRPr="00013050">
        <w:rPr>
          <w:highlight w:val="yellow"/>
        </w:rPr>
        <w:t xml:space="preserve">strengthen, assess, </w:t>
      </w:r>
      <w:r w:rsidRPr="00013050">
        <w:rPr>
          <w:i/>
          <w:highlight w:val="yellow"/>
        </w:rPr>
        <w:t>adapt</w:t>
      </w:r>
      <w:r w:rsidR="00CF36A7" w:rsidRPr="00013050">
        <w:rPr>
          <w:highlight w:val="yellow"/>
        </w:rPr>
        <w:t>)</w:t>
      </w:r>
      <w:r w:rsidRPr="00CF36A7">
        <w:t xml:space="preserve"> for students with disabilities. Rather than accommodate all students, printed materials </w:t>
      </w:r>
      <w:r w:rsidR="00CF36A7">
        <w:t>(</w:t>
      </w:r>
      <w:r w:rsidR="00CF36A7" w:rsidRPr="00013050">
        <w:rPr>
          <w:highlight w:val="yellow"/>
        </w:rPr>
        <w:t xml:space="preserve">test, </w:t>
      </w:r>
      <w:r w:rsidRPr="00013050">
        <w:rPr>
          <w:i/>
          <w:highlight w:val="yellow"/>
        </w:rPr>
        <w:t>exclude</w:t>
      </w:r>
      <w:r w:rsidR="00CF36A7" w:rsidRPr="00013050">
        <w:rPr>
          <w:highlight w:val="yellow"/>
        </w:rPr>
        <w:t>, encourage)</w:t>
      </w:r>
      <w:r w:rsidRPr="00CF36A7">
        <w:t xml:space="preserve"> some students.</w:t>
      </w:r>
    </w:p>
    <w:p w:rsidR="009250AF" w:rsidRPr="00CF36A7" w:rsidRDefault="009250AF" w:rsidP="00DD0265">
      <w:r w:rsidRPr="00CF36A7">
        <w:t>In 1996, Senator John Chafee (R-R.I.) introduced an amendment to the U.S. Copyright Act that identified “</w:t>
      </w:r>
      <w:r w:rsidR="00CF36A7">
        <w:t>(</w:t>
      </w:r>
      <w:r w:rsidR="00CF36A7" w:rsidRPr="00013050">
        <w:rPr>
          <w:highlight w:val="yellow"/>
        </w:rPr>
        <w:t xml:space="preserve">limited, </w:t>
      </w:r>
      <w:r w:rsidRPr="00013050">
        <w:rPr>
          <w:i/>
          <w:highlight w:val="yellow"/>
        </w:rPr>
        <w:t>authorized</w:t>
      </w:r>
      <w:r w:rsidR="005F7EA7" w:rsidRPr="00013050">
        <w:rPr>
          <w:highlight w:val="yellow"/>
        </w:rPr>
        <w:t>, SEA</w:t>
      </w:r>
      <w:r w:rsidR="005F7EA7">
        <w:t>)</w:t>
      </w:r>
      <w:r w:rsidRPr="00CF36A7">
        <w:t xml:space="preserve"> entities” who were exempt from copyright law infringement in the production of specialized formats </w:t>
      </w:r>
      <w:r w:rsidR="005F7EA7">
        <w:t>(</w:t>
      </w:r>
      <w:r w:rsidRPr="00013050">
        <w:rPr>
          <w:i/>
          <w:highlight w:val="yellow"/>
        </w:rPr>
        <w:t>exclusively</w:t>
      </w:r>
      <w:r w:rsidR="005F7EA7" w:rsidRPr="00013050">
        <w:rPr>
          <w:highlight w:val="yellow"/>
        </w:rPr>
        <w:t>, mostly, occasionally</w:t>
      </w:r>
      <w:r w:rsidR="005F7EA7">
        <w:t>)</w:t>
      </w:r>
      <w:r w:rsidRPr="00CF36A7">
        <w:t xml:space="preserve"> for use by “blind or other ‘persons with disabilities.” In 2004 the Individuals with Disabilities Education Act (IDEA) introduced language in the law stating that the provision of </w:t>
      </w:r>
      <w:r w:rsidR="005F7EA7">
        <w:t>(</w:t>
      </w:r>
      <w:r w:rsidRPr="00013050">
        <w:rPr>
          <w:i/>
          <w:highlight w:val="yellow"/>
        </w:rPr>
        <w:t>appropriate</w:t>
      </w:r>
      <w:r w:rsidR="005F7EA7" w:rsidRPr="00013050">
        <w:rPr>
          <w:highlight w:val="yellow"/>
        </w:rPr>
        <w:t>, free, flexible</w:t>
      </w:r>
      <w:r w:rsidR="005F7EA7">
        <w:t>)</w:t>
      </w:r>
      <w:r w:rsidRPr="00CF36A7">
        <w:t xml:space="preserve"> and accessible instructional materials</w:t>
      </w:r>
      <w:r w:rsidR="00CF36A7" w:rsidRPr="00CF36A7">
        <w:t xml:space="preserve"> (AIM)</w:t>
      </w:r>
      <w:r w:rsidRPr="00CF36A7">
        <w:t xml:space="preserve"> in a timely manner is an inherent component of the provision of a free and appropriate public education (FAPE) (34 Code of Federal Regulations [CFR] 300.210(b</w:t>
      </w:r>
      <w:proofErr w:type="gramStart"/>
      <w:r w:rsidRPr="00CF36A7">
        <w:t>)(</w:t>
      </w:r>
      <w:proofErr w:type="gramEnd"/>
      <w:r w:rsidRPr="00CF36A7">
        <w:t>3)).</w:t>
      </w:r>
    </w:p>
    <w:p w:rsidR="009250AF" w:rsidRPr="00CF36A7" w:rsidRDefault="009250AF" w:rsidP="009250AF">
      <w:r w:rsidRPr="00CF36A7">
        <w:t xml:space="preserve">Much of the legislation in IDEA that addresses accessible instructional materials is based on </w:t>
      </w:r>
      <w:r w:rsidR="00013050">
        <w:t>(</w:t>
      </w:r>
      <w:r w:rsidR="00013050" w:rsidRPr="00013050">
        <w:rPr>
          <w:highlight w:val="yellow"/>
        </w:rPr>
        <w:t xml:space="preserve">civil rights, IEP, </w:t>
      </w:r>
      <w:r w:rsidRPr="00013050">
        <w:rPr>
          <w:i/>
          <w:highlight w:val="yellow"/>
        </w:rPr>
        <w:t>copyright</w:t>
      </w:r>
      <w:r w:rsidR="00013050">
        <w:t>)</w:t>
      </w:r>
      <w:r w:rsidRPr="00CF36A7">
        <w:t xml:space="preserve"> law, including the Act of 1931 and the Chafee Amendment. This tends to cause some confusion when considering </w:t>
      </w:r>
      <w:r w:rsidR="00013050">
        <w:t>(</w:t>
      </w:r>
      <w:r w:rsidRPr="00013050">
        <w:rPr>
          <w:i/>
          <w:highlight w:val="yellow"/>
        </w:rPr>
        <w:t>AIM</w:t>
      </w:r>
      <w:r w:rsidR="00013050" w:rsidRPr="00013050">
        <w:rPr>
          <w:highlight w:val="yellow"/>
        </w:rPr>
        <w:t>, accommodations, UDL</w:t>
      </w:r>
      <w:r w:rsidR="00013050">
        <w:t>)</w:t>
      </w:r>
      <w:r w:rsidRPr="00CF36A7">
        <w:t xml:space="preserve"> for a student since copyright law only addresses the needs of some students. IDEA, however, clearly states that appropriate and accessible</w:t>
      </w:r>
      <w:r w:rsidR="00013050">
        <w:t xml:space="preserve"> instructional materials are (</w:t>
      </w:r>
      <w:r w:rsidR="00013050" w:rsidRPr="00013050">
        <w:rPr>
          <w:highlight w:val="yellow"/>
        </w:rPr>
        <w:t xml:space="preserve">not a, </w:t>
      </w:r>
      <w:r w:rsidR="00013050" w:rsidRPr="00013050">
        <w:rPr>
          <w:i/>
          <w:highlight w:val="yellow"/>
        </w:rPr>
        <w:t xml:space="preserve">an </w:t>
      </w:r>
      <w:r w:rsidRPr="00013050">
        <w:rPr>
          <w:i/>
          <w:highlight w:val="yellow"/>
        </w:rPr>
        <w:t>inherent</w:t>
      </w:r>
      <w:r w:rsidR="00013050" w:rsidRPr="00013050">
        <w:rPr>
          <w:highlight w:val="yellow"/>
        </w:rPr>
        <w:t>, removed from any</w:t>
      </w:r>
      <w:r w:rsidR="00013050">
        <w:t>)</w:t>
      </w:r>
      <w:r w:rsidRPr="00CF36A7">
        <w:t xml:space="preserve"> component of FAPE and </w:t>
      </w:r>
      <w:r w:rsidR="00013050">
        <w:t>(</w:t>
      </w:r>
      <w:r w:rsidRPr="00013050">
        <w:rPr>
          <w:i/>
          <w:highlight w:val="yellow"/>
        </w:rPr>
        <w:t>should</w:t>
      </w:r>
      <w:r w:rsidR="00013050" w:rsidRPr="00013050">
        <w:rPr>
          <w:highlight w:val="yellow"/>
        </w:rPr>
        <w:t>, may, shouldn’t</w:t>
      </w:r>
      <w:r w:rsidR="00013050">
        <w:t>)</w:t>
      </w:r>
      <w:r w:rsidRPr="00CF36A7">
        <w:t xml:space="preserve"> be considered for any student who has an IEP or 504 Plan. </w:t>
      </w:r>
    </w:p>
    <w:p w:rsidR="00CF36A7" w:rsidRDefault="00B718BC" w:rsidP="00CF36A7">
      <w:r>
        <w:t>(</w:t>
      </w:r>
      <w:r w:rsidRPr="00B718BC">
        <w:rPr>
          <w:highlight w:val="yellow"/>
        </w:rPr>
        <w:t xml:space="preserve">Universal Design for Learning, Accommodations, </w:t>
      </w:r>
      <w:r w:rsidR="00CF36A7" w:rsidRPr="00B718BC">
        <w:rPr>
          <w:i/>
          <w:highlight w:val="yellow"/>
        </w:rPr>
        <w:t>Appropriate and accessible instructional materials</w:t>
      </w:r>
      <w:r>
        <w:t>)</w:t>
      </w:r>
      <w:r w:rsidR="00CF36A7" w:rsidRPr="00CF36A7">
        <w:t xml:space="preserve"> for a student can be assessed through learning media assessments, informal reading inventories, current levels of performance, medical diagnosis, etc. </w:t>
      </w:r>
      <w:proofErr w:type="gramStart"/>
      <w:r w:rsidR="00CF36A7" w:rsidRPr="00CF36A7">
        <w:t xml:space="preserve">If the IEP Team determines that there is a need for accessible instructional materials, the relevant team members working with the student should </w:t>
      </w:r>
      <w:r w:rsidR="000A4FAC">
        <w:t>(</w:t>
      </w:r>
      <w:r w:rsidR="000A4FAC" w:rsidRPr="00B718BC">
        <w:rPr>
          <w:highlight w:val="yellow"/>
        </w:rPr>
        <w:t xml:space="preserve">make decisions for, </w:t>
      </w:r>
      <w:r w:rsidR="00CF36A7" w:rsidRPr="00B718BC">
        <w:rPr>
          <w:i/>
          <w:highlight w:val="yellow"/>
        </w:rPr>
        <w:t>make recommendations to</w:t>
      </w:r>
      <w:r w:rsidR="000A4FAC" w:rsidRPr="00B718BC">
        <w:rPr>
          <w:highlight w:val="yellow"/>
        </w:rPr>
        <w:t xml:space="preserve">, </w:t>
      </w:r>
      <w:r w:rsidRPr="00B718BC">
        <w:rPr>
          <w:highlight w:val="yellow"/>
        </w:rPr>
        <w:t>refuse to talk to</w:t>
      </w:r>
      <w:r>
        <w:t>)</w:t>
      </w:r>
      <w:r w:rsidR="00CF36A7" w:rsidRPr="00CF36A7">
        <w:t xml:space="preserve"> the IEP team on appropriate accessible formats and features.</w:t>
      </w:r>
      <w:proofErr w:type="gramEnd"/>
    </w:p>
    <w:p w:rsidR="00CF36A7" w:rsidRPr="00CF36A7" w:rsidRDefault="00B718BC" w:rsidP="00CF36A7">
      <w:r>
        <w:rPr>
          <w:noProof/>
        </w:rPr>
        <mc:AlternateContent>
          <mc:Choice Requires="wps">
            <w:drawing>
              <wp:anchor distT="0" distB="0" distL="114300" distR="114300" simplePos="0" relativeHeight="251664384" behindDoc="0" locked="0" layoutInCell="1" allowOverlap="1" wp14:anchorId="248AEB0D" wp14:editId="006819E2">
                <wp:simplePos x="0" y="0"/>
                <wp:positionH relativeFrom="column">
                  <wp:posOffset>-3810</wp:posOffset>
                </wp:positionH>
                <wp:positionV relativeFrom="paragraph">
                  <wp:posOffset>67945</wp:posOffset>
                </wp:positionV>
                <wp:extent cx="1316355" cy="560705"/>
                <wp:effectExtent l="57150" t="57150" r="55245" b="488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560705"/>
                        </a:xfrm>
                        <a:prstGeom prst="rect">
                          <a:avLst/>
                        </a:prstGeom>
                        <a:solidFill>
                          <a:schemeClr val="accent3">
                            <a:lumMod val="60000"/>
                            <a:lumOff val="40000"/>
                          </a:schemeClr>
                        </a:solidFill>
                        <a:ln w="9525">
                          <a:solidFill>
                            <a:srgbClr val="000000"/>
                          </a:solidFill>
                          <a:miter lim="800000"/>
                          <a:headEnd/>
                          <a:tailEnd/>
                        </a:ln>
                        <a:scene3d>
                          <a:camera prst="orthographicFront"/>
                          <a:lightRig rig="threePt" dir="t"/>
                        </a:scene3d>
                        <a:sp3d>
                          <a:bevelT w="165100" prst="coolSlant"/>
                        </a:sp3d>
                      </wps:spPr>
                      <wps:txbx>
                        <w:txbxContent>
                          <w:p w:rsidR="00726A0A" w:rsidRPr="0015290F" w:rsidRDefault="00726A0A" w:rsidP="00726A0A">
                            <w:pPr>
                              <w:jc w:val="center"/>
                              <w:rPr>
                                <w:sz w:val="44"/>
                                <w:szCs w:val="44"/>
                              </w:rPr>
                            </w:pPr>
                            <w:r>
                              <w:rPr>
                                <w:sz w:val="44"/>
                                <w:szCs w:val="44"/>
                              </w:rPr>
                              <w:t>Check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5.35pt;width:103.65pt;height:4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" fillcolor="#c2d69b [1942]">
                <v:textbox>
                  <w:txbxContent>
                    <w:p w:rsidR="00726A0A" w:rsidRPr="0015290F" w:rsidRDefault="00726A0A" w:rsidP="00726A0A">
                      <w:pPr>
                        <w:jc w:val="center"/>
                        <w:rPr>
                          <w:sz w:val="44"/>
                          <w:szCs w:val="44"/>
                        </w:rPr>
                      </w:pPr>
                      <w:r>
                        <w:rPr>
                          <w:sz w:val="44"/>
                          <w:szCs w:val="44"/>
                        </w:rPr>
                        <w:t>Check</w:t>
                      </w:r>
                    </w:p>
                  </w:txbxContent>
                </v:textbox>
              </v:shape>
            </w:pict>
          </mc:Fallback>
        </mc:AlternateContent>
      </w:r>
    </w:p>
    <w:p w:rsidR="009250AF" w:rsidRDefault="009250AF" w:rsidP="00DD0265"/>
    <w:p w:rsidR="00FD3BFD" w:rsidRDefault="00FD3BFD" w:rsidP="00DD0265">
      <w:bookmarkStart w:id="0" w:name="_GoBack"/>
      <w:bookmarkEnd w:id="0"/>
    </w:p>
    <w:sectPr w:rsidR="00FD3BFD" w:rsidSect="00DD5B3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93C"/>
    <w:multiLevelType w:val="hybridMultilevel"/>
    <w:tmpl w:val="0882D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3248E"/>
    <w:multiLevelType w:val="hybridMultilevel"/>
    <w:tmpl w:val="079A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F4528"/>
    <w:multiLevelType w:val="hybridMultilevel"/>
    <w:tmpl w:val="EC7E61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6335E"/>
    <w:multiLevelType w:val="hybridMultilevel"/>
    <w:tmpl w:val="B8B6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08"/>
    <w:rsid w:val="00013050"/>
    <w:rsid w:val="000202C0"/>
    <w:rsid w:val="000335D7"/>
    <w:rsid w:val="0004290E"/>
    <w:rsid w:val="000459C3"/>
    <w:rsid w:val="00051725"/>
    <w:rsid w:val="00067AA2"/>
    <w:rsid w:val="0009006D"/>
    <w:rsid w:val="000A4FAC"/>
    <w:rsid w:val="000B617D"/>
    <w:rsid w:val="000D6ED8"/>
    <w:rsid w:val="000F0F45"/>
    <w:rsid w:val="001044FD"/>
    <w:rsid w:val="0015290F"/>
    <w:rsid w:val="001A1599"/>
    <w:rsid w:val="001E19E5"/>
    <w:rsid w:val="002152C4"/>
    <w:rsid w:val="00216C93"/>
    <w:rsid w:val="00286ED3"/>
    <w:rsid w:val="002E221A"/>
    <w:rsid w:val="002E705C"/>
    <w:rsid w:val="00304CB6"/>
    <w:rsid w:val="00314716"/>
    <w:rsid w:val="00317EB0"/>
    <w:rsid w:val="00356C6F"/>
    <w:rsid w:val="00373C1E"/>
    <w:rsid w:val="0038475B"/>
    <w:rsid w:val="003A48DC"/>
    <w:rsid w:val="003C63E7"/>
    <w:rsid w:val="003D3CB8"/>
    <w:rsid w:val="003D46DE"/>
    <w:rsid w:val="0040246B"/>
    <w:rsid w:val="0042414E"/>
    <w:rsid w:val="0044532F"/>
    <w:rsid w:val="004A6BD1"/>
    <w:rsid w:val="004B24AB"/>
    <w:rsid w:val="004D6F41"/>
    <w:rsid w:val="004E59D8"/>
    <w:rsid w:val="00540387"/>
    <w:rsid w:val="005D31C4"/>
    <w:rsid w:val="005D561D"/>
    <w:rsid w:val="005E7A6E"/>
    <w:rsid w:val="005F7EA7"/>
    <w:rsid w:val="00600B12"/>
    <w:rsid w:val="00603A53"/>
    <w:rsid w:val="0061310B"/>
    <w:rsid w:val="0063656D"/>
    <w:rsid w:val="006B4D7F"/>
    <w:rsid w:val="00711C25"/>
    <w:rsid w:val="00726A0A"/>
    <w:rsid w:val="00767EC4"/>
    <w:rsid w:val="00787166"/>
    <w:rsid w:val="0084535C"/>
    <w:rsid w:val="00846401"/>
    <w:rsid w:val="00862F92"/>
    <w:rsid w:val="008B00AB"/>
    <w:rsid w:val="00910A3E"/>
    <w:rsid w:val="00916836"/>
    <w:rsid w:val="009250AF"/>
    <w:rsid w:val="00944CEF"/>
    <w:rsid w:val="0095071E"/>
    <w:rsid w:val="00972D08"/>
    <w:rsid w:val="00987ADF"/>
    <w:rsid w:val="009B17AD"/>
    <w:rsid w:val="009C6293"/>
    <w:rsid w:val="00A200A8"/>
    <w:rsid w:val="00AB553A"/>
    <w:rsid w:val="00AD47FE"/>
    <w:rsid w:val="00AF6EDD"/>
    <w:rsid w:val="00B05AD9"/>
    <w:rsid w:val="00B6558E"/>
    <w:rsid w:val="00B718BC"/>
    <w:rsid w:val="00B90DFE"/>
    <w:rsid w:val="00BB5B75"/>
    <w:rsid w:val="00BC7865"/>
    <w:rsid w:val="00BD54CB"/>
    <w:rsid w:val="00BE6E61"/>
    <w:rsid w:val="00BF1D3D"/>
    <w:rsid w:val="00C03077"/>
    <w:rsid w:val="00C57828"/>
    <w:rsid w:val="00C858B2"/>
    <w:rsid w:val="00CC1174"/>
    <w:rsid w:val="00CF36A7"/>
    <w:rsid w:val="00D305B1"/>
    <w:rsid w:val="00D35233"/>
    <w:rsid w:val="00D3735B"/>
    <w:rsid w:val="00DA49AD"/>
    <w:rsid w:val="00DA7E10"/>
    <w:rsid w:val="00DD0265"/>
    <w:rsid w:val="00DD4830"/>
    <w:rsid w:val="00DD5B36"/>
    <w:rsid w:val="00DF279A"/>
    <w:rsid w:val="00E16908"/>
    <w:rsid w:val="00E40C9C"/>
    <w:rsid w:val="00E77EF3"/>
    <w:rsid w:val="00EA11D5"/>
    <w:rsid w:val="00EC26CF"/>
    <w:rsid w:val="00ED69BC"/>
    <w:rsid w:val="00EF09E7"/>
    <w:rsid w:val="00F01256"/>
    <w:rsid w:val="00F250F7"/>
    <w:rsid w:val="00F455F6"/>
    <w:rsid w:val="00F56143"/>
    <w:rsid w:val="00F716E1"/>
    <w:rsid w:val="00F8331D"/>
    <w:rsid w:val="00FA42FC"/>
    <w:rsid w:val="00FC3EB1"/>
    <w:rsid w:val="00FD3BFD"/>
    <w:rsid w:val="00FE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17AD"/>
    <w:rPr>
      <w:color w:val="808080"/>
    </w:rPr>
  </w:style>
  <w:style w:type="paragraph" w:styleId="BalloonText">
    <w:name w:val="Balloon Text"/>
    <w:basedOn w:val="Normal"/>
    <w:link w:val="BalloonTextChar"/>
    <w:uiPriority w:val="99"/>
    <w:semiHidden/>
    <w:unhideWhenUsed/>
    <w:rsid w:val="009B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AD"/>
    <w:rPr>
      <w:rFonts w:ascii="Tahoma" w:hAnsi="Tahoma" w:cs="Tahoma"/>
      <w:sz w:val="16"/>
      <w:szCs w:val="16"/>
    </w:rPr>
  </w:style>
  <w:style w:type="character" w:styleId="Hyperlink">
    <w:name w:val="Hyperlink"/>
    <w:basedOn w:val="DefaultParagraphFont"/>
    <w:uiPriority w:val="99"/>
    <w:unhideWhenUsed/>
    <w:rsid w:val="006B4D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1D"/>
    <w:pPr>
      <w:ind w:left="720"/>
      <w:contextualSpacing/>
    </w:pPr>
  </w:style>
  <w:style w:type="table" w:styleId="TableGrid">
    <w:name w:val="Table Grid"/>
    <w:basedOn w:val="TableNormal"/>
    <w:uiPriority w:val="59"/>
    <w:rsid w:val="00845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17AD"/>
    <w:rPr>
      <w:color w:val="808080"/>
    </w:rPr>
  </w:style>
  <w:style w:type="paragraph" w:styleId="BalloonText">
    <w:name w:val="Balloon Text"/>
    <w:basedOn w:val="Normal"/>
    <w:link w:val="BalloonTextChar"/>
    <w:uiPriority w:val="99"/>
    <w:semiHidden/>
    <w:unhideWhenUsed/>
    <w:rsid w:val="009B1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7AD"/>
    <w:rPr>
      <w:rFonts w:ascii="Tahoma" w:hAnsi="Tahoma" w:cs="Tahoma"/>
      <w:sz w:val="16"/>
      <w:szCs w:val="16"/>
    </w:rPr>
  </w:style>
  <w:style w:type="character" w:styleId="Hyperlink">
    <w:name w:val="Hyperlink"/>
    <w:basedOn w:val="DefaultParagraphFont"/>
    <w:uiPriority w:val="99"/>
    <w:unhideWhenUsed/>
    <w:rsid w:val="006B4D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64736-55CD-417C-A2D9-66918370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Davis</dc:creator>
  <cp:lastModifiedBy>David Davis</cp:lastModifiedBy>
  <cp:revision>8</cp:revision>
  <dcterms:created xsi:type="dcterms:W3CDTF">2011-01-18T05:50:00Z</dcterms:created>
  <dcterms:modified xsi:type="dcterms:W3CDTF">2011-01-18T06:50:00Z</dcterms:modified>
</cp:coreProperties>
</file>